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9E676" w14:textId="77777777" w:rsidR="00752431" w:rsidRDefault="00752431">
      <w:pPr>
        <w:pStyle w:val="NoSpacing1"/>
      </w:pPr>
    </w:p>
    <w:p w14:paraId="7D8B205E" w14:textId="77777777" w:rsidR="00752431" w:rsidRDefault="001A21B1">
      <w:pPr>
        <w:rPr>
          <w14:textOutline w14:w="9525" w14:cap="rnd" w14:cmpd="sng" w14:algn="ctr">
            <w14:solidFill>
              <w14:schemeClr w14:val="accent1"/>
            </w14:solidFill>
            <w14:prstDash w14:val="solid"/>
            <w14:bevel/>
          </w14:textOutline>
        </w:rPr>
      </w:pPr>
      <w:r>
        <w:rPr>
          <w14:textOutline w14:w="9525" w14:cap="rnd" w14:cmpd="sng" w14:algn="ctr">
            <w14:solidFill>
              <w14:schemeClr w14:val="accent1"/>
            </w14:solidFill>
            <w14:prstDash w14:val="solid"/>
            <w14:bevel/>
          </w14:textOutline>
        </w:rPr>
        <w:t xml:space="preserve">   </w:t>
      </w:r>
      <w:r>
        <w:rPr>
          <w:noProof/>
        </w:rPr>
        <w:drawing>
          <wp:inline distT="0" distB="0" distL="0" distR="0" wp14:anchorId="3F49F95A" wp14:editId="13EFD2E1">
            <wp:extent cx="6595745" cy="3169920"/>
            <wp:effectExtent l="0" t="0" r="14605"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D65BEBE" w14:textId="77777777" w:rsidR="00752431" w:rsidRDefault="001A21B1">
      <w:pPr>
        <w:rPr>
          <w14:textOutline w14:w="9525" w14:cap="rnd" w14:cmpd="sng" w14:algn="ctr">
            <w14:solidFill>
              <w14:schemeClr w14:val="accent1"/>
            </w14:solidFill>
            <w14:prstDash w14:val="solid"/>
            <w14:bevel/>
          </w14:textOutline>
        </w:rPr>
      </w:pPr>
      <w:r>
        <w:rPr>
          <w14:textOutline w14:w="9525" w14:cap="rnd" w14:cmpd="sng" w14:algn="ctr">
            <w14:solidFill>
              <w14:schemeClr w14:val="accent1"/>
            </w14:solidFill>
            <w14:prstDash w14:val="solid"/>
            <w14:bevel/>
          </w14:textOutline>
        </w:rPr>
        <w:t xml:space="preserve">   </w:t>
      </w:r>
      <w:r>
        <w:rPr>
          <w:noProof/>
        </w:rPr>
        <w:drawing>
          <wp:inline distT="0" distB="0" distL="0" distR="0" wp14:anchorId="7279CBC4" wp14:editId="3910DDC4">
            <wp:extent cx="6595745" cy="3200400"/>
            <wp:effectExtent l="0" t="0" r="1460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3535DF6" w14:textId="721447C8" w:rsidR="00752431" w:rsidRDefault="001A21B1">
      <w:pPr>
        <w:jc w:val="both"/>
      </w:pPr>
      <w:r>
        <w:t>2020 &amp; 2021 were unu</w:t>
      </w:r>
      <w:r>
        <w:t>sual years in both how we used our resources and how we built People Power. Our typical budget is funded by the Congregational Investment Drive, Congregational Membership Dues and valued Corporate Partners (Corporate Investment Drive). Our community partne</w:t>
      </w:r>
      <w:r>
        <w:t xml:space="preserve">rs appreciate the work we do because it impacts their customers, </w:t>
      </w:r>
      <w:r w:rsidR="006938FE">
        <w:t>employees,</w:t>
      </w:r>
      <w:r>
        <w:t xml:space="preserve"> and neighbors</w:t>
      </w:r>
      <w:r w:rsidR="006938FE">
        <w:t xml:space="preserve">. </w:t>
      </w:r>
      <w:r>
        <w:t>Many of our meetings and organizational meetings were virtual for over two years</w:t>
      </w:r>
      <w:r w:rsidR="006938FE">
        <w:t xml:space="preserve">. </w:t>
      </w:r>
      <w:r>
        <w:t>We had unanticipated expenses such as Zoom. We did not have expenses associated wi</w:t>
      </w:r>
      <w:r>
        <w:t>th in person gatherings such as the ACTION and most of the DART training opportunities. Our virtual ACTION in 2020 only cost $114 but averages $3,500 when we have them in person. CAJE’s budget for training averages $22,000 but was only $12,517 in 2020 as o</w:t>
      </w:r>
      <w:r>
        <w:t>pportunities were limited during the lock down</w:t>
      </w:r>
      <w:r w:rsidR="006938FE">
        <w:t xml:space="preserve">. </w:t>
      </w:r>
      <w:r>
        <w:t xml:space="preserve">We were able to hold our ground during COVID, but now that we are returning to more </w:t>
      </w:r>
      <w:r>
        <w:t>“</w:t>
      </w:r>
      <w:r>
        <w:t>normal</w:t>
      </w:r>
      <w:r>
        <w:t>”</w:t>
      </w:r>
      <w:r>
        <w:t xml:space="preserve"> times our expenses will return to their former levels</w:t>
      </w:r>
      <w:r w:rsidR="006938FE">
        <w:t xml:space="preserve">. </w:t>
      </w:r>
      <w:r>
        <w:t xml:space="preserve">The 2022 budget anticipates expenses of </w:t>
      </w:r>
      <w:r>
        <w:t xml:space="preserve">nearly </w:t>
      </w:r>
      <w:r>
        <w:t>$2</w:t>
      </w:r>
      <w:r>
        <w:t>10,000</w:t>
      </w:r>
      <w:r>
        <w:t xml:space="preserve">. </w:t>
      </w:r>
    </w:p>
    <w:p w14:paraId="50485F2A" w14:textId="77777777" w:rsidR="00752431" w:rsidRDefault="00752431">
      <w:pPr>
        <w:pStyle w:val="NoSpacing1"/>
      </w:pPr>
    </w:p>
    <w:p w14:paraId="03779BF6" w14:textId="77777777" w:rsidR="00752431" w:rsidRDefault="001A21B1">
      <w:pPr>
        <w:jc w:val="center"/>
        <w:rPr>
          <w:rFonts w:ascii="Calibri" w:eastAsia="Calibri" w:hAnsi="Calibri" w:cs="Calibri"/>
        </w:rPr>
      </w:pPr>
      <w:r>
        <w:rPr>
          <w:rFonts w:ascii="Calibri" w:eastAsia="Calibri" w:hAnsi="Calibri" w:cs="Calibri"/>
          <w:sz w:val="36"/>
          <w:u w:val="single"/>
        </w:rPr>
        <w:lastRenderedPageBreak/>
        <w:t>CAJE’s 2021-2022 Successes</w:t>
      </w:r>
      <w:r>
        <w:rPr>
          <w:rFonts w:ascii="Calibri" w:eastAsia="Calibri" w:hAnsi="Calibri" w:cs="Calibri"/>
        </w:rPr>
        <w:t>.</w:t>
      </w:r>
    </w:p>
    <w:p w14:paraId="1EA6EDB5" w14:textId="77777777" w:rsidR="00752431" w:rsidRDefault="00752431">
      <w:pPr>
        <w:pStyle w:val="ListParagraph1"/>
        <w:ind w:left="0"/>
        <w:jc w:val="both"/>
        <w:rPr>
          <w:rFonts w:ascii="Calibri" w:eastAsia="Calibri" w:hAnsi="Calibri" w:cs="Calibri"/>
          <w:sz w:val="22"/>
          <w:szCs w:val="22"/>
        </w:rPr>
      </w:pPr>
    </w:p>
    <w:p w14:paraId="04F9FB38" w14:textId="6DF1B926" w:rsidR="00752431" w:rsidRDefault="001A21B1">
      <w:pPr>
        <w:pStyle w:val="ListParagraph1"/>
        <w:numPr>
          <w:ilvl w:val="0"/>
          <w:numId w:val="1"/>
        </w:numPr>
        <w:jc w:val="both"/>
        <w:rPr>
          <w:rFonts w:ascii="Calibri" w:eastAsia="Calibri" w:hAnsi="Calibri" w:cs="Calibri"/>
          <w:sz w:val="22"/>
          <w:szCs w:val="22"/>
        </w:rPr>
      </w:pPr>
      <w:r>
        <w:rPr>
          <w:rFonts w:ascii="Calibri" w:eastAsia="Calibri" w:hAnsi="Calibri" w:cs="Calibri"/>
          <w:sz w:val="22"/>
          <w:szCs w:val="22"/>
        </w:rPr>
        <w:t xml:space="preserve">Mayor Lloyd Winnecke followed through on his 2021 </w:t>
      </w:r>
      <w:r w:rsidR="006938FE">
        <w:rPr>
          <w:rFonts w:ascii="Calibri" w:eastAsia="Calibri" w:hAnsi="Calibri" w:cs="Calibri"/>
          <w:sz w:val="22"/>
          <w:szCs w:val="22"/>
        </w:rPr>
        <w:t>commitment</w:t>
      </w:r>
      <w:r>
        <w:rPr>
          <w:rFonts w:ascii="Calibri" w:eastAsia="Calibri" w:hAnsi="Calibri" w:cs="Calibri"/>
          <w:sz w:val="22"/>
          <w:szCs w:val="22"/>
        </w:rPr>
        <w:t xml:space="preserve"> of a </w:t>
      </w:r>
      <w:r>
        <w:rPr>
          <w:rFonts w:ascii="Calibri" w:eastAsia="Calibri" w:hAnsi="Calibri" w:cs="Calibri"/>
          <w:sz w:val="22"/>
          <w:szCs w:val="22"/>
        </w:rPr>
        <w:t>“seven figure” allocation into the Affordable Housing Trust Fund, by introducing a finance ordinance in the amount of $5 million!</w:t>
      </w:r>
    </w:p>
    <w:p w14:paraId="05274B3F" w14:textId="2B56838B" w:rsidR="00752431" w:rsidRDefault="001A21B1">
      <w:pPr>
        <w:pStyle w:val="NoSpacing1"/>
        <w:numPr>
          <w:ilvl w:val="0"/>
          <w:numId w:val="1"/>
        </w:numPr>
      </w:pPr>
      <w:r>
        <w:t xml:space="preserve">Within that ordinance, </w:t>
      </w:r>
      <w:r w:rsidR="006938FE">
        <w:t>which</w:t>
      </w:r>
      <w:r>
        <w:t xml:space="preserve"> cam</w:t>
      </w:r>
      <w:r>
        <w:t xml:space="preserve">e before council in </w:t>
      </w:r>
      <w:r w:rsidR="006938FE">
        <w:t>February</w:t>
      </w:r>
      <w:r>
        <w:t>, were additional allocations for ARPA funds for...</w:t>
      </w:r>
    </w:p>
    <w:p w14:paraId="4F7E5054" w14:textId="77777777" w:rsidR="00752431" w:rsidRDefault="001A21B1">
      <w:pPr>
        <w:pStyle w:val="NoSpacing1"/>
        <w:numPr>
          <w:ilvl w:val="1"/>
          <w:numId w:val="1"/>
        </w:numPr>
      </w:pPr>
      <w:r>
        <w:t>$4 million for a pediatric and family dual diagnosis clinic.</w:t>
      </w:r>
    </w:p>
    <w:p w14:paraId="3BDC994E" w14:textId="18242D8C" w:rsidR="00752431" w:rsidRDefault="001A21B1">
      <w:pPr>
        <w:pStyle w:val="NoSpacing1"/>
        <w:numPr>
          <w:ilvl w:val="1"/>
          <w:numId w:val="1"/>
        </w:numPr>
      </w:pPr>
      <w:r>
        <w:t>$300,000/year for the next two years towards the operational costs for the Evansville Diversion Center, a mental hea</w:t>
      </w:r>
      <w:r>
        <w:t>lth &amp; addiction disorder unit that diverts nonviolent, non-</w:t>
      </w:r>
      <w:r w:rsidR="006938FE">
        <w:t>felonious offenders</w:t>
      </w:r>
      <w:r>
        <w:t xml:space="preserve"> away from jail and into a </w:t>
      </w:r>
      <w:r w:rsidR="006938FE">
        <w:t>therapeutic</w:t>
      </w:r>
      <w:r>
        <w:t xml:space="preserve"> environment.</w:t>
      </w:r>
    </w:p>
    <w:p w14:paraId="18F229AB" w14:textId="77777777" w:rsidR="00752431" w:rsidRDefault="001A21B1">
      <w:pPr>
        <w:pStyle w:val="NoSpacing1"/>
        <w:numPr>
          <w:ilvl w:val="1"/>
          <w:numId w:val="1"/>
        </w:numPr>
      </w:pPr>
      <w:r>
        <w:t>The mayor affirmed his commitments at the 2022 Action.</w:t>
      </w:r>
    </w:p>
    <w:p w14:paraId="1D3540EB" w14:textId="77777777" w:rsidR="00752431" w:rsidRDefault="00752431">
      <w:pPr>
        <w:pStyle w:val="NoSpacing1"/>
        <w:ind w:left="720"/>
      </w:pPr>
    </w:p>
    <w:p w14:paraId="1F0828E7" w14:textId="2252B213" w:rsidR="00752431" w:rsidRDefault="001A21B1">
      <w:pPr>
        <w:pStyle w:val="NoSpacing1"/>
        <w:numPr>
          <w:ilvl w:val="0"/>
          <w:numId w:val="2"/>
        </w:numPr>
      </w:pPr>
      <w:r>
        <w:t xml:space="preserve">Vanderburgh County </w:t>
      </w:r>
      <w:r w:rsidR="006938FE">
        <w:t>Commissioner</w:t>
      </w:r>
      <w:r>
        <w:t xml:space="preserve"> Jeff Hatfield attended the CAJE Actio</w:t>
      </w:r>
      <w:r>
        <w:t xml:space="preserve">n and committed to champion the allocation of ARPA funds for the diversion center. A recent email to CAJE asked for CAJE members to attend upcoming </w:t>
      </w:r>
      <w:r w:rsidR="006938FE">
        <w:t>commission</w:t>
      </w:r>
      <w:r>
        <w:t xml:space="preserve"> and County Council meetings to show our support for the funding. A council vote is expected in J</w:t>
      </w:r>
      <w:r>
        <w:t>uly.</w:t>
      </w:r>
    </w:p>
    <w:p w14:paraId="1715DBDF" w14:textId="77777777" w:rsidR="00752431" w:rsidRDefault="00752431">
      <w:pPr>
        <w:pStyle w:val="NoSpacing1"/>
      </w:pPr>
    </w:p>
    <w:p w14:paraId="3CA0A519" w14:textId="1BF12672" w:rsidR="00752431" w:rsidRDefault="001A21B1">
      <w:pPr>
        <w:pStyle w:val="NoSpacing1"/>
      </w:pPr>
      <w:r>
        <w:t>CAJE is the only direct-action organization in Posey, Warrick</w:t>
      </w:r>
      <w:r>
        <w:t>,</w:t>
      </w:r>
      <w:r>
        <w:t xml:space="preserve"> and Vanderburgh counties that works to create long-lasting systemic change at the community level. We are not done! </w:t>
      </w:r>
      <w:r w:rsidR="006938FE">
        <w:t>To</w:t>
      </w:r>
      <w:r>
        <w:t xml:space="preserve"> make 2022 </w:t>
      </w:r>
      <w:r>
        <w:t xml:space="preserve">successful, we must reach our </w:t>
      </w:r>
      <w:r w:rsidR="006938FE">
        <w:t>goal $</w:t>
      </w:r>
      <w:r>
        <w:t>85,000</w:t>
      </w:r>
      <w:r>
        <w:t xml:space="preserve"> Congregational Investment Drive goal. Members are the #1 source of support for what CAJE does</w:t>
      </w:r>
      <w:r w:rsidR="006938FE">
        <w:t xml:space="preserve">. </w:t>
      </w:r>
      <w:r>
        <w:t xml:space="preserve">The pandemic was a magnifying glass of sorts, which revealed the cracks in the community that many of our neighbors are in danger of falling through. The need </w:t>
      </w:r>
      <w:r>
        <w:t xml:space="preserve">for justice is even more important. </w:t>
      </w:r>
    </w:p>
    <w:p w14:paraId="79EA7490" w14:textId="77777777" w:rsidR="00752431" w:rsidRDefault="00752431">
      <w:pPr>
        <w:pStyle w:val="NoSpacing1"/>
      </w:pPr>
    </w:p>
    <w:p w14:paraId="3286B944" w14:textId="77777777" w:rsidR="00752431" w:rsidRDefault="001A21B1">
      <w:pPr>
        <w:jc w:val="both"/>
        <w:rPr>
          <w:rFonts w:ascii="Calibri" w:eastAsia="Calibri" w:hAnsi="Calibri" w:cs="Calibri"/>
        </w:rPr>
      </w:pPr>
      <w:r>
        <w:rPr>
          <w:rFonts w:ascii="Calibri" w:eastAsia="Calibri" w:hAnsi="Calibri" w:cs="Calibri"/>
        </w:rPr>
        <w:t>You can invest at the Justice Ministry by writing a check to CAJE. Your investment will have an impact right away. Other ways to invest are:</w:t>
      </w:r>
    </w:p>
    <w:p w14:paraId="757E3067" w14:textId="77777777" w:rsidR="00752431" w:rsidRDefault="001A21B1">
      <w:pPr>
        <w:pStyle w:val="ListParagraph1"/>
        <w:numPr>
          <w:ilvl w:val="0"/>
          <w:numId w:val="3"/>
        </w:numPr>
        <w:shd w:val="clear" w:color="auto" w:fill="FDFDFD"/>
        <w:jc w:val="both"/>
        <w:rPr>
          <w:rFonts w:eastAsia="Times New Roman" w:cstheme="minorHAnsi"/>
          <w:color w:val="000000" w:themeColor="text1"/>
          <w:sz w:val="22"/>
          <w:szCs w:val="22"/>
        </w:rPr>
      </w:pPr>
      <w:r>
        <w:rPr>
          <w:rFonts w:eastAsia="Times New Roman" w:cstheme="minorHAnsi"/>
          <w:color w:val="000000" w:themeColor="text1"/>
          <w:sz w:val="22"/>
          <w:szCs w:val="22"/>
        </w:rPr>
        <w:t>Spreading out payments through the year (on a schedule that you choose) and</w:t>
      </w:r>
    </w:p>
    <w:p w14:paraId="0513E34C" w14:textId="77777777" w:rsidR="00752431" w:rsidRDefault="001A21B1">
      <w:pPr>
        <w:pStyle w:val="ListParagraph1"/>
        <w:numPr>
          <w:ilvl w:val="1"/>
          <w:numId w:val="3"/>
        </w:numPr>
        <w:shd w:val="clear" w:color="auto" w:fill="FDFDFD"/>
        <w:jc w:val="both"/>
        <w:rPr>
          <w:rFonts w:eastAsia="Times New Roman" w:cstheme="minorHAnsi"/>
          <w:color w:val="000000" w:themeColor="text1"/>
          <w:sz w:val="22"/>
          <w:szCs w:val="22"/>
        </w:rPr>
      </w:pPr>
      <w:r>
        <w:rPr>
          <w:rFonts w:eastAsia="Times New Roman" w:cstheme="minorHAnsi"/>
          <w:color w:val="000000" w:themeColor="text1"/>
          <w:sz w:val="22"/>
          <w:szCs w:val="22"/>
        </w:rPr>
        <w:t xml:space="preserve">Mailing the investment to </w:t>
      </w:r>
      <w:r>
        <w:rPr>
          <w:rFonts w:ascii="Calibri" w:eastAsia="Calibri" w:hAnsi="Calibri" w:cs="Calibri"/>
          <w:sz w:val="22"/>
          <w:szCs w:val="22"/>
        </w:rPr>
        <w:t>CAJE at P.O. Box 18172, Evansville, Indiana 47719,</w:t>
      </w:r>
    </w:p>
    <w:p w14:paraId="67038218" w14:textId="77777777" w:rsidR="00752431" w:rsidRDefault="001A21B1">
      <w:pPr>
        <w:pStyle w:val="ListParagraph1"/>
        <w:numPr>
          <w:ilvl w:val="1"/>
          <w:numId w:val="3"/>
        </w:numPr>
        <w:shd w:val="clear" w:color="auto" w:fill="FDFDFD"/>
        <w:jc w:val="both"/>
        <w:rPr>
          <w:rFonts w:eastAsia="Times New Roman" w:cstheme="minorHAnsi"/>
          <w:color w:val="000000" w:themeColor="text1"/>
          <w:sz w:val="22"/>
          <w:szCs w:val="22"/>
        </w:rPr>
      </w:pPr>
      <w:r>
        <w:rPr>
          <w:rFonts w:ascii="Calibri" w:eastAsia="Calibri" w:hAnsi="Calibri" w:cs="Calibri"/>
          <w:sz w:val="22"/>
          <w:szCs w:val="22"/>
        </w:rPr>
        <w:t xml:space="preserve">Going to </w:t>
      </w:r>
      <w:hyperlink r:id="rId9" w:history="1">
        <w:r>
          <w:rPr>
            <w:rStyle w:val="Hyperlink"/>
            <w:rFonts w:cstheme="minorHAnsi"/>
            <w:sz w:val="22"/>
            <w:szCs w:val="22"/>
            <w:shd w:val="clear" w:color="auto" w:fill="FFFFFF"/>
          </w:rPr>
          <w:t>www.greaterevansvillecaje.org</w:t>
        </w:r>
      </w:hyperlink>
      <w:r>
        <w:rPr>
          <w:rFonts w:cstheme="minorHAnsi"/>
          <w:color w:val="222222"/>
          <w:sz w:val="22"/>
          <w:szCs w:val="22"/>
          <w:shd w:val="clear" w:color="auto" w:fill="FFFFFF"/>
        </w:rPr>
        <w:t xml:space="preserve"> and </w:t>
      </w:r>
      <w:r>
        <w:rPr>
          <w:rFonts w:cstheme="minorHAnsi"/>
          <w:color w:val="000000" w:themeColor="text1"/>
          <w:sz w:val="22"/>
          <w:szCs w:val="22"/>
          <w:shd w:val="clear" w:color="auto" w:fill="FFFFFF"/>
        </w:rPr>
        <w:t>clicking on “Invest in CAJE” at the bottom</w:t>
      </w:r>
    </w:p>
    <w:p w14:paraId="0CA2C85C" w14:textId="77777777" w:rsidR="00752431" w:rsidRDefault="001A21B1">
      <w:pPr>
        <w:pStyle w:val="ListParagraph1"/>
        <w:shd w:val="clear" w:color="auto" w:fill="FDFDFD"/>
        <w:ind w:left="1080"/>
        <w:jc w:val="both"/>
        <w:rPr>
          <w:rFonts w:eastAsia="Times New Roman" w:cstheme="minorHAnsi"/>
          <w:color w:val="000000" w:themeColor="text1"/>
          <w:sz w:val="22"/>
          <w:szCs w:val="22"/>
        </w:rPr>
      </w:pPr>
      <w:r>
        <w:rPr>
          <w:rFonts w:cstheme="minorHAnsi"/>
          <w:color w:val="000000" w:themeColor="text1"/>
          <w:sz w:val="22"/>
          <w:szCs w:val="22"/>
          <w:shd w:val="clear" w:color="auto" w:fill="FFFFFF"/>
        </w:rPr>
        <w:t xml:space="preserve"> of CAJE’s home page and follow the directions from there!</w:t>
      </w:r>
      <w:r>
        <w:rPr>
          <w:rFonts w:ascii="Calibri" w:eastAsia="Calibri" w:hAnsi="Calibri" w:cs="Calibri"/>
          <w:sz w:val="22"/>
          <w:szCs w:val="22"/>
        </w:rPr>
        <w:t xml:space="preserve"> </w:t>
      </w:r>
    </w:p>
    <w:p w14:paraId="5BED2BA4" w14:textId="77777777" w:rsidR="00752431" w:rsidRDefault="001A21B1">
      <w:pPr>
        <w:pStyle w:val="ListParagraph1"/>
        <w:numPr>
          <w:ilvl w:val="1"/>
          <w:numId w:val="3"/>
        </w:numPr>
        <w:shd w:val="clear" w:color="auto" w:fill="FDFDFD"/>
        <w:jc w:val="both"/>
        <w:rPr>
          <w:rFonts w:eastAsia="Times New Roman" w:cstheme="minorHAnsi"/>
          <w:color w:val="000000" w:themeColor="text1"/>
          <w:sz w:val="22"/>
          <w:szCs w:val="22"/>
        </w:rPr>
      </w:pPr>
      <w:r>
        <w:rPr>
          <w:sz w:val="22"/>
          <w:szCs w:val="22"/>
        </w:rPr>
        <w:t>Setting up automatic distributions from your bank account with Fifth Third Bank, German American Bank, Old National Bank, Evansv</w:t>
      </w:r>
      <w:r>
        <w:rPr>
          <w:sz w:val="22"/>
          <w:szCs w:val="22"/>
        </w:rPr>
        <w:t>ille Teachers FCU or Regions Bank.</w:t>
      </w:r>
    </w:p>
    <w:p w14:paraId="34B01197" w14:textId="24FE659E" w:rsidR="00752431" w:rsidRDefault="001A21B1">
      <w:pPr>
        <w:pStyle w:val="ListParagraph1"/>
        <w:numPr>
          <w:ilvl w:val="0"/>
          <w:numId w:val="3"/>
        </w:numPr>
        <w:shd w:val="clear" w:color="auto" w:fill="FDFDFD"/>
        <w:jc w:val="both"/>
        <w:rPr>
          <w:rFonts w:eastAsia="Times New Roman" w:cstheme="minorHAnsi"/>
          <w:color w:val="000000" w:themeColor="text1"/>
          <w:sz w:val="22"/>
          <w:szCs w:val="22"/>
        </w:rPr>
      </w:pPr>
      <w:r>
        <w:rPr>
          <w:rFonts w:cstheme="minorHAnsi"/>
          <w:color w:val="000000"/>
          <w:sz w:val="22"/>
          <w:szCs w:val="22"/>
        </w:rPr>
        <w:t>If you are 70 ½ or older, you can make a Qualified Charitable Distribution from your IRA and the QCD amount is excluded from your taxable income on your 2022 tax return</w:t>
      </w:r>
      <w:r w:rsidR="00B9402E">
        <w:rPr>
          <w:rFonts w:cstheme="minorHAnsi"/>
          <w:color w:val="000000"/>
          <w:sz w:val="22"/>
          <w:szCs w:val="22"/>
        </w:rPr>
        <w:t xml:space="preserve">. </w:t>
      </w:r>
    </w:p>
    <w:p w14:paraId="619F8D9E" w14:textId="62FB7D15" w:rsidR="00752431" w:rsidRDefault="001A21B1">
      <w:pPr>
        <w:pStyle w:val="ListParagraph1"/>
        <w:numPr>
          <w:ilvl w:val="0"/>
          <w:numId w:val="3"/>
        </w:numPr>
        <w:jc w:val="both"/>
        <w:rPr>
          <w:sz w:val="22"/>
          <w:szCs w:val="22"/>
        </w:rPr>
      </w:pPr>
      <w:r>
        <w:rPr>
          <w:sz w:val="22"/>
          <w:szCs w:val="22"/>
        </w:rPr>
        <w:t>CAJE annually receives nearly $2,000 in matching</w:t>
      </w:r>
      <w:r>
        <w:rPr>
          <w:sz w:val="22"/>
          <w:szCs w:val="22"/>
        </w:rPr>
        <w:t xml:space="preserve"> funds from Bristol-Myers Squibb employees/retirees! CAJE also partners with Benevity (www.benevity.com), a </w:t>
      </w:r>
      <w:r>
        <w:rPr>
          <w:rFonts w:cstheme="minorHAnsi"/>
          <w:sz w:val="22"/>
          <w:szCs w:val="22"/>
          <w:shd w:val="clear" w:color="auto" w:fill="FFFFFF"/>
        </w:rPr>
        <w:t>global leader in online workplace giving which is</w:t>
      </w:r>
      <w:r>
        <w:rPr>
          <w:rFonts w:cstheme="minorHAnsi"/>
          <w:sz w:val="22"/>
          <w:szCs w:val="22"/>
          <w:shd w:val="clear" w:color="auto" w:fill="FFFFFF"/>
        </w:rPr>
        <w:t xml:space="preserve"> used by </w:t>
      </w:r>
      <w:r>
        <w:rPr>
          <w:rFonts w:cstheme="minorHAnsi"/>
          <w:sz w:val="22"/>
          <w:szCs w:val="22"/>
        </w:rPr>
        <w:t>Coca-Cola, Intel, Ameriprise Financial and hundreds of other companies across the United States, to process matching donations made by its employees</w:t>
      </w:r>
      <w:r w:rsidR="006938FE">
        <w:rPr>
          <w:rFonts w:cstheme="minorHAnsi"/>
          <w:sz w:val="22"/>
          <w:szCs w:val="22"/>
        </w:rPr>
        <w:t xml:space="preserve">. </w:t>
      </w:r>
    </w:p>
    <w:p w14:paraId="4108D657" w14:textId="77777777" w:rsidR="00752431" w:rsidRDefault="001A21B1">
      <w:pPr>
        <w:jc w:val="center"/>
        <w:rPr>
          <w:rFonts w:ascii="Calibri" w:eastAsia="Calibri" w:hAnsi="Calibri" w:cs="Calibri"/>
        </w:rPr>
      </w:pPr>
      <w:r>
        <w:rPr>
          <w:rFonts w:ascii="Calibri" w:eastAsia="Calibri" w:hAnsi="Calibri" w:cs="Calibri"/>
        </w:rPr>
        <w:t>_____________________________</w:t>
      </w:r>
    </w:p>
    <w:p w14:paraId="0B13AFAF" w14:textId="77777777" w:rsidR="00752431" w:rsidRDefault="001A21B1">
      <w:pPr>
        <w:jc w:val="both"/>
        <w:rPr>
          <w:rFonts w:ascii="Calibri" w:eastAsia="Calibri" w:hAnsi="Calibri" w:cs="Calibri"/>
        </w:rPr>
      </w:pPr>
      <w:r>
        <w:rPr>
          <w:rFonts w:ascii="Calibri" w:eastAsia="Calibri" w:hAnsi="Calibri" w:cs="Calibri"/>
          <w:b/>
          <w:bCs/>
        </w:rPr>
        <w:t>CAJE Congregations</w:t>
      </w:r>
      <w:r>
        <w:rPr>
          <w:rFonts w:ascii="Calibri" w:eastAsia="Calibri" w:hAnsi="Calibri" w:cs="Calibri"/>
        </w:rPr>
        <w:t xml:space="preserve">: </w:t>
      </w:r>
      <w:r>
        <w:rPr>
          <w:rFonts w:ascii="Calibri" w:eastAsia="Calibri" w:hAnsi="Calibri" w:cs="Calibri"/>
        </w:rPr>
        <w:t>All Saints Catholic Parish, Bethel UCC, Bethlehem UCC</w:t>
      </w:r>
      <w:r>
        <w:rPr>
          <w:rFonts w:ascii="Calibri" w:eastAsia="Calibri" w:hAnsi="Calibri" w:cs="Calibri"/>
        </w:rPr>
        <w:t>, Central United Methodist, Cleaves Memorial, Community of Christ, Corpus Christi, First Presbyterian, Hindu Temple, Holy Redeemer Catholic, Holy Rosary Catholic, Independence Baptist, Islamic Center of Evansville, Mt. Olive Galilee Baptist, Nazarene Bapti</w:t>
      </w:r>
      <w:r>
        <w:rPr>
          <w:rFonts w:ascii="Calibri" w:eastAsia="Calibri" w:hAnsi="Calibri" w:cs="Calibri"/>
        </w:rPr>
        <w:t>st, Old North United Methodist, Patchwork Central, St. Benedict Cathedral, St. Francis Xavier Catholic, St. John the Baptist Catholic, St. Lucas UCC, St. Paul’s Episcopal, St. Peter’s UCC - Highland, St. Wendel Catholic, Saints Mary and John Catholic, Unit</w:t>
      </w:r>
      <w:r>
        <w:rPr>
          <w:rFonts w:ascii="Calibri" w:eastAsia="Calibri" w:hAnsi="Calibri" w:cs="Calibri"/>
        </w:rPr>
        <w:t>arian Universalist of EVV, Zion Missionary Baptist</w:t>
      </w:r>
    </w:p>
    <w:p w14:paraId="0D478B84" w14:textId="77777777" w:rsidR="00752431" w:rsidRDefault="00752431">
      <w:pPr>
        <w:pStyle w:val="NoSpacing1"/>
      </w:pPr>
    </w:p>
    <w:p w14:paraId="0CC0109C" w14:textId="7156E224" w:rsidR="00752431" w:rsidRDefault="001A21B1">
      <w:pPr>
        <w:jc w:val="both"/>
        <w:rPr>
          <w14:textOutline w14:w="9525" w14:cap="rnd" w14:cmpd="sng" w14:algn="ctr">
            <w14:solidFill>
              <w14:schemeClr w14:val="accent1"/>
            </w14:solidFill>
            <w14:prstDash w14:val="solid"/>
            <w14:bevel/>
          </w14:textOutline>
        </w:rPr>
      </w:pPr>
      <w:r>
        <w:rPr>
          <w:rFonts w:ascii="Calibri" w:eastAsia="Calibri" w:hAnsi="Calibri" w:cs="Calibri"/>
          <w:b/>
          <w:bCs/>
        </w:rPr>
        <w:t xml:space="preserve">Corporate Partners: </w:t>
      </w:r>
      <w:r>
        <w:rPr>
          <w:rFonts w:ascii="Calibri" w:eastAsia="Calibri" w:hAnsi="Calibri" w:cs="Calibri"/>
        </w:rPr>
        <w:t>ARC Construction, Corressell Landscape LLC, Deaconess Health System, Hamman Foundation, Koch Foundation, Lochmueller Group,</w:t>
      </w:r>
      <w:r>
        <w:rPr>
          <w:rFonts w:ascii="Calibri" w:eastAsia="Calibri" w:hAnsi="Calibri" w:cs="Calibri"/>
        </w:rPr>
        <w:t xml:space="preserve"> </w:t>
      </w:r>
      <w:r>
        <w:rPr>
          <w:rFonts w:ascii="Calibri" w:eastAsia="Calibri" w:hAnsi="Calibri" w:cs="Calibri"/>
        </w:rPr>
        <w:t>Ol</w:t>
      </w:r>
      <w:r>
        <w:rPr>
          <w:rFonts w:ascii="Calibri" w:eastAsia="Calibri" w:hAnsi="Calibri" w:cs="Calibri"/>
        </w:rPr>
        <w:t xml:space="preserve">d National Bank Foundation, Toyota, Tri-State </w:t>
      </w:r>
      <w:r w:rsidR="006938FE">
        <w:rPr>
          <w:rFonts w:ascii="Calibri" w:eastAsia="Calibri" w:hAnsi="Calibri" w:cs="Calibri"/>
        </w:rPr>
        <w:t>Bearing, Ziemer</w:t>
      </w:r>
      <w:r>
        <w:rPr>
          <w:rFonts w:ascii="Calibri" w:eastAsia="Calibri" w:hAnsi="Calibri" w:cs="Calibri"/>
        </w:rPr>
        <w:t xml:space="preserve"> Funeral Home</w:t>
      </w:r>
      <w:r>
        <w:rPr>
          <w:rFonts w:ascii="Calibri" w:eastAsia="Calibri" w:hAnsi="Calibri" w:cs="Calibri"/>
        </w:rPr>
        <w:t>s</w:t>
      </w:r>
      <w:r>
        <w:rPr>
          <w:rFonts w:ascii="Calibri" w:eastAsia="Calibri" w:hAnsi="Calibri" w:cs="Calibri"/>
        </w:rPr>
        <w:t>, Ascension St. Vincent</w:t>
      </w:r>
      <w:r>
        <w:rPr>
          <w:rFonts w:ascii="Calibri" w:eastAsia="Calibri" w:hAnsi="Calibri" w:cs="Calibri"/>
        </w:rPr>
        <w:t>’s Health</w:t>
      </w:r>
    </w:p>
    <w:sectPr w:rsidR="00752431">
      <w:pgSz w:w="12240" w:h="15840"/>
      <w:pgMar w:top="432" w:right="864" w:bottom="720" w:left="1008"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EA8C5" w14:textId="77777777" w:rsidR="00752431" w:rsidRDefault="001A21B1">
      <w:pPr>
        <w:spacing w:line="240" w:lineRule="auto"/>
      </w:pPr>
      <w:r>
        <w:separator/>
      </w:r>
    </w:p>
  </w:endnote>
  <w:endnote w:type="continuationSeparator" w:id="0">
    <w:p w14:paraId="5B740361" w14:textId="77777777" w:rsidR="00752431" w:rsidRDefault="001A21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0F13A" w14:textId="77777777" w:rsidR="00752431" w:rsidRDefault="001A21B1">
      <w:pPr>
        <w:spacing w:after="0"/>
      </w:pPr>
      <w:r>
        <w:separator/>
      </w:r>
    </w:p>
  </w:footnote>
  <w:footnote w:type="continuationSeparator" w:id="0">
    <w:p w14:paraId="315E0590" w14:textId="77777777" w:rsidR="00752431" w:rsidRDefault="001A21B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5232B"/>
    <w:multiLevelType w:val="multilevel"/>
    <w:tmpl w:val="2AF5232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5CF204CB"/>
    <w:multiLevelType w:val="multilevel"/>
    <w:tmpl w:val="5CF204C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62A3A06A"/>
    <w:multiLevelType w:val="singleLevel"/>
    <w:tmpl w:val="62A3A06A"/>
    <w:lvl w:ilvl="0">
      <w:start w:val="1"/>
      <w:numFmt w:val="bullet"/>
      <w:lvlText w:val=""/>
      <w:lvlJc w:val="left"/>
      <w:pPr>
        <w:ind w:left="420" w:hanging="420"/>
      </w:pPr>
      <w:rPr>
        <w:rFonts w:ascii="Wingdings" w:hAnsi="Wingdings" w:hint="default"/>
      </w:rPr>
    </w:lvl>
  </w:abstractNum>
  <w:num w:numId="1" w16cid:durableId="1046493356">
    <w:abstractNumId w:val="1"/>
  </w:num>
  <w:num w:numId="2" w16cid:durableId="1797024291">
    <w:abstractNumId w:val="2"/>
  </w:num>
  <w:num w:numId="3" w16cid:durableId="1442187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FBA"/>
    <w:rsid w:val="9FBF4C61"/>
    <w:rsid w:val="D1EF479A"/>
    <w:rsid w:val="FFDE7D72"/>
    <w:rsid w:val="00031AC0"/>
    <w:rsid w:val="00036CB3"/>
    <w:rsid w:val="00042D95"/>
    <w:rsid w:val="00047C5D"/>
    <w:rsid w:val="00120599"/>
    <w:rsid w:val="00130C12"/>
    <w:rsid w:val="00147EF2"/>
    <w:rsid w:val="001A21B1"/>
    <w:rsid w:val="001C6568"/>
    <w:rsid w:val="001C7923"/>
    <w:rsid w:val="001F31A3"/>
    <w:rsid w:val="002012C1"/>
    <w:rsid w:val="00211B32"/>
    <w:rsid w:val="00256992"/>
    <w:rsid w:val="00262DA8"/>
    <w:rsid w:val="00297BB8"/>
    <w:rsid w:val="002E2BEC"/>
    <w:rsid w:val="002E481B"/>
    <w:rsid w:val="003120D1"/>
    <w:rsid w:val="003623B3"/>
    <w:rsid w:val="003F6C31"/>
    <w:rsid w:val="0043346B"/>
    <w:rsid w:val="00437D35"/>
    <w:rsid w:val="004703E2"/>
    <w:rsid w:val="004C735C"/>
    <w:rsid w:val="0054538F"/>
    <w:rsid w:val="0057098E"/>
    <w:rsid w:val="005D203A"/>
    <w:rsid w:val="005F4297"/>
    <w:rsid w:val="00610360"/>
    <w:rsid w:val="00661FBA"/>
    <w:rsid w:val="006938FE"/>
    <w:rsid w:val="006C245C"/>
    <w:rsid w:val="006E454A"/>
    <w:rsid w:val="007312B0"/>
    <w:rsid w:val="00732DF3"/>
    <w:rsid w:val="00751A37"/>
    <w:rsid w:val="00752431"/>
    <w:rsid w:val="00755ADF"/>
    <w:rsid w:val="00794C83"/>
    <w:rsid w:val="007C4C70"/>
    <w:rsid w:val="00837D44"/>
    <w:rsid w:val="00846793"/>
    <w:rsid w:val="00890A32"/>
    <w:rsid w:val="008A4CC5"/>
    <w:rsid w:val="008D2614"/>
    <w:rsid w:val="008D6B81"/>
    <w:rsid w:val="00920C9F"/>
    <w:rsid w:val="00937B60"/>
    <w:rsid w:val="009574F7"/>
    <w:rsid w:val="00A1223F"/>
    <w:rsid w:val="00A35A51"/>
    <w:rsid w:val="00A577E3"/>
    <w:rsid w:val="00A601C7"/>
    <w:rsid w:val="00AB497B"/>
    <w:rsid w:val="00AD3711"/>
    <w:rsid w:val="00AE610A"/>
    <w:rsid w:val="00AE769D"/>
    <w:rsid w:val="00AF68CD"/>
    <w:rsid w:val="00B15451"/>
    <w:rsid w:val="00B2696B"/>
    <w:rsid w:val="00B27B8F"/>
    <w:rsid w:val="00B548CD"/>
    <w:rsid w:val="00B9402E"/>
    <w:rsid w:val="00C36D47"/>
    <w:rsid w:val="00C4048E"/>
    <w:rsid w:val="00C82A45"/>
    <w:rsid w:val="00C9308E"/>
    <w:rsid w:val="00CA5FDD"/>
    <w:rsid w:val="00CD16E1"/>
    <w:rsid w:val="00CE06BF"/>
    <w:rsid w:val="00D02121"/>
    <w:rsid w:val="00D2367E"/>
    <w:rsid w:val="00D94ABF"/>
    <w:rsid w:val="00DB22F5"/>
    <w:rsid w:val="00DE3799"/>
    <w:rsid w:val="00E83CAF"/>
    <w:rsid w:val="00EE23CB"/>
    <w:rsid w:val="00EF57B7"/>
    <w:rsid w:val="00F13ECD"/>
    <w:rsid w:val="00F25857"/>
    <w:rsid w:val="00F30EB6"/>
    <w:rsid w:val="00F337CD"/>
    <w:rsid w:val="00F4223A"/>
    <w:rsid w:val="00F51FB3"/>
    <w:rsid w:val="00F630FC"/>
    <w:rsid w:val="00F660DC"/>
    <w:rsid w:val="00F76991"/>
    <w:rsid w:val="00F94E50"/>
    <w:rsid w:val="00FD0158"/>
    <w:rsid w:val="00FE5E5C"/>
    <w:rsid w:val="00FF4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61037"/>
  <w15:docId w15:val="{89985472-EBE8-4F4A-AD87-CF1EE067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themeColor="hyperlink"/>
      <w:u w:val="single"/>
    </w:rPr>
  </w:style>
  <w:style w:type="paragraph" w:customStyle="1" w:styleId="NoSpacing1">
    <w:name w:val="No Spacing1"/>
    <w:uiPriority w:val="1"/>
    <w:qFormat/>
    <w:rPr>
      <w:sz w:val="22"/>
      <w:szCs w:val="22"/>
    </w:rPr>
  </w:style>
  <w:style w:type="paragraph" w:customStyle="1" w:styleId="ListParagraph1">
    <w:name w:val="List Paragraph1"/>
    <w:basedOn w:val="Normal"/>
    <w:uiPriority w:val="34"/>
    <w:qFormat/>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eaterevansvillecaje.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600" b="1" i="0" u="none" strike="noStrike" kern="1200" spc="0" normalizeH="0" baseline="0">
                <a:solidFill>
                  <a:schemeClr val="dk1">
                    <a:lumMod val="50000"/>
                    <a:lumOff val="50000"/>
                  </a:schemeClr>
                </a:solidFill>
                <a:latin typeface="+mj-lt"/>
                <a:ea typeface="+mj-ea"/>
                <a:cs typeface="+mj-cs"/>
              </a:defRPr>
            </a:pPr>
            <a:r>
              <a:rPr lang="en-US"/>
              <a:t>CAJE Revenue 2021 -  $170,989.99</a:t>
            </a:r>
          </a:p>
          <a:p>
            <a:pPr>
              <a:defRPr lang="en-US" sz="1600" b="1" i="0" u="none" strike="noStrike" kern="1200" spc="0" normalizeH="0" baseline="0">
                <a:solidFill>
                  <a:schemeClr val="dk1">
                    <a:lumMod val="50000"/>
                    <a:lumOff val="50000"/>
                  </a:schemeClr>
                </a:solidFill>
                <a:latin typeface="+mj-lt"/>
                <a:ea typeface="+mj-ea"/>
                <a:cs typeface="+mj-cs"/>
              </a:defRPr>
            </a:pPr>
            <a:endParaRPr lang="en-US"/>
          </a:p>
        </c:rich>
      </c:tx>
      <c:layout>
        <c:manualLayout>
          <c:xMode val="edge"/>
          <c:yMode val="edge"/>
          <c:x val="0.10342470789880399"/>
          <c:y val="3.7886760549162103E-2"/>
        </c:manualLayout>
      </c:layout>
      <c:overlay val="0"/>
      <c:spPr>
        <a:noFill/>
        <a:ln>
          <a:noFill/>
        </a:ln>
        <a:effectLst/>
      </c:spPr>
    </c:title>
    <c:autoTitleDeleted val="0"/>
    <c:plotArea>
      <c:layout/>
      <c:pieChart>
        <c:varyColors val="1"/>
        <c:ser>
          <c:idx val="0"/>
          <c:order val="0"/>
          <c:tx>
            <c:strRef>
              <c:f>Sheet1!$B$2</c:f>
              <c:strCache>
                <c:ptCount val="1"/>
                <c:pt idx="0">
                  <c:v>CAJE revenue 2021 %</c:v>
                </c:pt>
              </c:strCache>
            </c:strRef>
          </c:tx>
          <c:dPt>
            <c:idx val="0"/>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1-4599-49C6-A8CC-485E0143E8A2}"/>
              </c:ext>
            </c:extLst>
          </c:dPt>
          <c:dPt>
            <c:idx val="1"/>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3-4599-49C6-A8CC-485E0143E8A2}"/>
              </c:ext>
            </c:extLst>
          </c:dPt>
          <c:dPt>
            <c:idx val="2"/>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5-4599-49C6-A8CC-485E0143E8A2}"/>
              </c:ext>
            </c:extLst>
          </c:dPt>
          <c:dPt>
            <c:idx val="3"/>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07-4599-49C6-A8CC-485E0143E8A2}"/>
              </c:ext>
            </c:extLst>
          </c:dPt>
          <c:dPt>
            <c:idx val="4"/>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c:ext xmlns:c16="http://schemas.microsoft.com/office/drawing/2014/chart" uri="{C3380CC4-5D6E-409C-BE32-E72D297353CC}">
                <c16:uniqueId val="{00000009-4599-49C6-A8CC-485E0143E8A2}"/>
              </c:ext>
            </c:extLst>
          </c:dPt>
          <c:dPt>
            <c:idx val="5"/>
            <c:bubble3D val="0"/>
            <c:spPr>
              <a:gradFill>
                <a:gsLst>
                  <a:gs pos="100000">
                    <a:schemeClr val="accent6">
                      <a:lumMod val="60000"/>
                      <a:lumMod val="60000"/>
                      <a:lumOff val="40000"/>
                    </a:schemeClr>
                  </a:gs>
                  <a:gs pos="0">
                    <a:schemeClr val="accent6">
                      <a:lumMod val="60000"/>
                    </a:schemeClr>
                  </a:gs>
                </a:gsLst>
                <a:lin ang="5400000" scaled="0"/>
              </a:gradFill>
              <a:ln w="19050">
                <a:solidFill>
                  <a:schemeClr val="lt1"/>
                </a:solidFill>
              </a:ln>
              <a:effectLst/>
            </c:spPr>
            <c:extLst>
              <c:ext xmlns:c16="http://schemas.microsoft.com/office/drawing/2014/chart" uri="{C3380CC4-5D6E-409C-BE32-E72D297353CC}">
                <c16:uniqueId val="{0000000B-4599-49C6-A8CC-485E0143E8A2}"/>
              </c:ext>
            </c:extLst>
          </c:dPt>
          <c:dPt>
            <c:idx val="6"/>
            <c:bubble3D val="0"/>
            <c:spPr>
              <a:gradFill>
                <a:gsLst>
                  <a:gs pos="100000">
                    <a:schemeClr val="accent2">
                      <a:lumMod val="80000"/>
                      <a:lumOff val="20000"/>
                      <a:lumMod val="60000"/>
                      <a:lumOff val="40000"/>
                    </a:schemeClr>
                  </a:gs>
                  <a:gs pos="0">
                    <a:schemeClr val="accent2">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0D-4599-49C6-A8CC-485E0143E8A2}"/>
              </c:ext>
            </c:extLst>
          </c:dPt>
          <c:dLbls>
            <c:spPr>
              <a:noFill/>
              <a:ln>
                <a:noFill/>
              </a:ln>
              <a:effectLst/>
            </c:sp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Sheet1!$A$3:$A$9</c:f>
              <c:strCache>
                <c:ptCount val="7"/>
                <c:pt idx="0">
                  <c:v>Congregational Investment from individual CAJE members - 44.5%</c:v>
                </c:pt>
                <c:pt idx="1">
                  <c:v>Corporate Investment Drive - 17.8%</c:v>
                </c:pt>
                <c:pt idx="2">
                  <c:v>Grant - AARP - 2.9%</c:v>
                </c:pt>
                <c:pt idx="3">
                  <c:v>Grant - ONB Foundation - 2.9%</c:v>
                </c:pt>
                <c:pt idx="4">
                  <c:v>Grant - Mission and Ministry Impact Grant - 19.1%</c:v>
                </c:pt>
                <c:pt idx="5">
                  <c:v>Membership Dues from member congregations - 12.1%</c:v>
                </c:pt>
                <c:pt idx="6">
                  <c:v>Miscellaneous - Bank interest, gifts in-kind, mug and bumper sticker sales, restaurant give back nights, Scrip program - 0.7%</c:v>
                </c:pt>
              </c:strCache>
            </c:strRef>
          </c:cat>
          <c:val>
            <c:numRef>
              <c:f>Sheet1!$B$3:$B$9</c:f>
              <c:numCache>
                <c:formatCode>0.0%</c:formatCode>
                <c:ptCount val="7"/>
                <c:pt idx="0">
                  <c:v>0.44500000000000001</c:v>
                </c:pt>
                <c:pt idx="1">
                  <c:v>0.17799999999999999</c:v>
                </c:pt>
                <c:pt idx="2">
                  <c:v>2.9000000000000001E-2</c:v>
                </c:pt>
                <c:pt idx="3">
                  <c:v>2.9000000000000001E-2</c:v>
                </c:pt>
                <c:pt idx="4">
                  <c:v>0.191</c:v>
                </c:pt>
                <c:pt idx="5">
                  <c:v>0.121</c:v>
                </c:pt>
                <c:pt idx="6">
                  <c:v>7.0000000000000001E-3</c:v>
                </c:pt>
              </c:numCache>
            </c:numRef>
          </c:val>
          <c:extLst>
            <c:ext xmlns:c16="http://schemas.microsoft.com/office/drawing/2014/chart" uri="{C3380CC4-5D6E-409C-BE32-E72D297353CC}">
              <c16:uniqueId val="{0000000E-4599-49C6-A8CC-485E0143E8A2}"/>
            </c:ext>
          </c:extLst>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3"/>
        <c:txPr>
          <a:bodyPr rot="0" spcFirstLastPara="1" vertOverflow="ellipsis" vert="horz" wrap="square" anchor="ctr" anchorCtr="1"/>
          <a:lstStyle/>
          <a:p>
            <a:pPr>
              <a:defRPr lang="en-US" sz="900" b="0" i="0" u="none" strike="noStrike" kern="1200" baseline="0">
                <a:solidFill>
                  <a:schemeClr val="bg1">
                    <a:lumMod val="50000"/>
                  </a:schemeClr>
                </a:solidFill>
                <a:latin typeface="+mn-lt"/>
                <a:ea typeface="+mn-ea"/>
                <a:cs typeface="+mn-cs"/>
              </a:defRPr>
            </a:pPr>
            <a:endParaRPr lang="en-US"/>
          </a:p>
        </c:txPr>
      </c:legendEntry>
      <c:layout>
        <c:manualLayout>
          <c:xMode val="edge"/>
          <c:yMode val="edge"/>
          <c:x val="0.63585902729714405"/>
          <c:y val="3.7943077505973997E-2"/>
          <c:w val="0.34873710248046302"/>
          <c:h val="0.923943535166727"/>
        </c:manualLayout>
      </c:layout>
      <c:overlay val="0"/>
      <c:spPr>
        <a:solidFill>
          <a:schemeClr val="lt1">
            <a:alpha val="50000"/>
          </a:schemeClr>
        </a:solidFill>
        <a:ln>
          <a:noFill/>
        </a:ln>
        <a:effectLst/>
      </c:spPr>
      <c:txPr>
        <a:bodyPr rot="0" spcFirstLastPara="1" vertOverflow="ellipsis" vert="horz" wrap="square" anchor="ctr" anchorCtr="1"/>
        <a:lstStyle/>
        <a:p>
          <a:pPr>
            <a:defRPr lang="en-US" sz="900" b="0" i="0" u="none" strike="noStrike" kern="1200" baseline="0">
              <a:solidFill>
                <a:schemeClr val="bg1">
                  <a:lumMod val="50000"/>
                </a:schemeClr>
              </a:solidFill>
              <a:latin typeface="+mn-lt"/>
              <a:ea typeface="+mn-ea"/>
              <a:cs typeface="+mn-cs"/>
            </a:defRPr>
          </a:pPr>
          <a:endParaRPr lang="en-US"/>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lang="en-US"/>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600" b="1" i="0" u="none" strike="noStrike" kern="1200" spc="0" normalizeH="0" baseline="0">
                <a:solidFill>
                  <a:schemeClr val="bg1">
                    <a:lumMod val="50000"/>
                  </a:schemeClr>
                </a:solidFill>
                <a:latin typeface="+mj-lt"/>
                <a:ea typeface="+mj-ea"/>
                <a:cs typeface="+mj-cs"/>
              </a:defRPr>
            </a:pPr>
            <a:r>
              <a:rPr lang="en-US" baseline="0">
                <a:solidFill>
                  <a:schemeClr val="bg1">
                    <a:lumMod val="50000"/>
                  </a:schemeClr>
                </a:solidFill>
              </a:rPr>
              <a:t>CAJE Expenses 2021 - $159,063.55                               </a:t>
            </a:r>
          </a:p>
        </c:rich>
      </c:tx>
      <c:layout>
        <c:manualLayout>
          <c:xMode val="edge"/>
          <c:yMode val="edge"/>
          <c:x val="0.112812426799399"/>
          <c:y val="4.8685164354455697E-2"/>
        </c:manualLayout>
      </c:layout>
      <c:overlay val="0"/>
      <c:spPr>
        <a:noFill/>
        <a:ln>
          <a:noFill/>
        </a:ln>
        <a:effectLst/>
      </c:spPr>
    </c:title>
    <c:autoTitleDeleted val="0"/>
    <c:plotArea>
      <c:layout>
        <c:manualLayout>
          <c:layoutTarget val="inner"/>
          <c:xMode val="edge"/>
          <c:yMode val="edge"/>
          <c:x val="0.1320430065140481"/>
          <c:y val="0.20051587301587301"/>
          <c:w val="0.38792721671319919"/>
          <c:h val="0.79948412698412696"/>
        </c:manualLayout>
      </c:layout>
      <c:pieChart>
        <c:varyColors val="1"/>
        <c:ser>
          <c:idx val="0"/>
          <c:order val="0"/>
          <c:tx>
            <c:strRef>
              <c:f>Sheet1!$B$1</c:f>
              <c:strCache>
                <c:ptCount val="1"/>
                <c:pt idx="0">
                  <c:v>What CAJE members supported in 2021</c:v>
                </c:pt>
              </c:strCache>
            </c:strRef>
          </c:tx>
          <c:dPt>
            <c:idx val="0"/>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1-6672-4E33-BDAF-882F13966CCE}"/>
              </c:ext>
            </c:extLst>
          </c:dPt>
          <c:dPt>
            <c:idx val="1"/>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3-6672-4E33-BDAF-882F13966CCE}"/>
              </c:ext>
            </c:extLst>
          </c:dPt>
          <c:dPt>
            <c:idx val="2"/>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5-6672-4E33-BDAF-882F13966CCE}"/>
              </c:ext>
            </c:extLst>
          </c:dPt>
          <c:dPt>
            <c:idx val="3"/>
            <c:bubble3D val="0"/>
            <c:spPr>
              <a:gradFill>
                <a:gsLst>
                  <a:gs pos="100000">
                    <a:schemeClr val="accent6">
                      <a:lumMod val="60000"/>
                      <a:lumMod val="60000"/>
                      <a:lumOff val="40000"/>
                    </a:schemeClr>
                  </a:gs>
                  <a:gs pos="0">
                    <a:schemeClr val="accent6">
                      <a:lumMod val="60000"/>
                    </a:schemeClr>
                  </a:gs>
                </a:gsLst>
                <a:lin ang="5400000" scaled="0"/>
              </a:gradFill>
              <a:ln w="19050">
                <a:solidFill>
                  <a:schemeClr val="lt1"/>
                </a:solidFill>
              </a:ln>
              <a:effectLst/>
            </c:spPr>
            <c:extLst>
              <c:ext xmlns:c16="http://schemas.microsoft.com/office/drawing/2014/chart" uri="{C3380CC4-5D6E-409C-BE32-E72D297353CC}">
                <c16:uniqueId val="{00000007-6672-4E33-BDAF-882F13966CCE}"/>
              </c:ext>
            </c:extLst>
          </c:dPt>
          <c:dPt>
            <c:idx val="4"/>
            <c:bubble3D val="0"/>
            <c:spPr>
              <a:gradFill>
                <a:gsLst>
                  <a:gs pos="100000">
                    <a:schemeClr val="accent5">
                      <a:lumMod val="60000"/>
                      <a:lumMod val="60000"/>
                      <a:lumOff val="40000"/>
                    </a:schemeClr>
                  </a:gs>
                  <a:gs pos="0">
                    <a:schemeClr val="accent5">
                      <a:lumMod val="60000"/>
                    </a:schemeClr>
                  </a:gs>
                </a:gsLst>
                <a:lin ang="5400000" scaled="0"/>
              </a:gradFill>
              <a:ln w="19050">
                <a:solidFill>
                  <a:schemeClr val="lt1"/>
                </a:solidFill>
              </a:ln>
              <a:effectLst/>
            </c:spPr>
            <c:extLst>
              <c:ext xmlns:c16="http://schemas.microsoft.com/office/drawing/2014/chart" uri="{C3380CC4-5D6E-409C-BE32-E72D297353CC}">
                <c16:uniqueId val="{00000009-6672-4E33-BDAF-882F13966CCE}"/>
              </c:ext>
            </c:extLst>
          </c:dPt>
          <c:dPt>
            <c:idx val="5"/>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c:ext xmlns:c16="http://schemas.microsoft.com/office/drawing/2014/chart" uri="{C3380CC4-5D6E-409C-BE32-E72D297353CC}">
                <c16:uniqueId val="{0000000B-6672-4E33-BDAF-882F13966CCE}"/>
              </c:ext>
            </c:extLst>
          </c:dPt>
          <c:dPt>
            <c:idx val="6"/>
            <c:bubble3D val="0"/>
            <c:spPr>
              <a:gradFill>
                <a:gsLst>
                  <a:gs pos="100000">
                    <a:schemeClr val="accent6">
                      <a:lumMod val="80000"/>
                      <a:lumOff val="20000"/>
                      <a:lumMod val="60000"/>
                      <a:lumOff val="40000"/>
                    </a:schemeClr>
                  </a:gs>
                  <a:gs pos="0">
                    <a:schemeClr val="accent6">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0D-6672-4E33-BDAF-882F13966CCE}"/>
              </c:ext>
            </c:extLst>
          </c:dPt>
          <c:dPt>
            <c:idx val="7"/>
            <c:bubble3D val="0"/>
            <c:spPr>
              <a:gradFill>
                <a:gsLst>
                  <a:gs pos="100000">
                    <a:schemeClr val="accent5">
                      <a:lumMod val="80000"/>
                      <a:lumOff val="20000"/>
                      <a:lumMod val="60000"/>
                      <a:lumOff val="40000"/>
                    </a:schemeClr>
                  </a:gs>
                  <a:gs pos="0">
                    <a:schemeClr val="accent5">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0F-6672-4E33-BDAF-882F13966CCE}"/>
              </c:ext>
            </c:extLst>
          </c:dPt>
          <c:dPt>
            <c:idx val="8"/>
            <c:bubble3D val="0"/>
            <c:spPr>
              <a:gradFill>
                <a:gsLst>
                  <a:gs pos="100000">
                    <a:schemeClr val="accent4">
                      <a:lumMod val="80000"/>
                      <a:lumOff val="20000"/>
                      <a:lumMod val="60000"/>
                      <a:lumOff val="40000"/>
                    </a:schemeClr>
                  </a:gs>
                  <a:gs pos="0">
                    <a:schemeClr val="accent4">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11-6672-4E33-BDAF-882F13966CCE}"/>
              </c:ext>
            </c:extLst>
          </c:dPt>
          <c:dPt>
            <c:idx val="9"/>
            <c:bubble3D val="0"/>
            <c:spPr>
              <a:gradFill>
                <a:gsLst>
                  <a:gs pos="100000">
                    <a:schemeClr val="accent6">
                      <a:lumMod val="80000"/>
                      <a:lumMod val="60000"/>
                      <a:lumOff val="40000"/>
                    </a:schemeClr>
                  </a:gs>
                  <a:gs pos="0">
                    <a:schemeClr val="accent6">
                      <a:lumMod val="80000"/>
                    </a:schemeClr>
                  </a:gs>
                </a:gsLst>
                <a:lin ang="5400000" scaled="0"/>
              </a:gradFill>
              <a:ln w="19050">
                <a:solidFill>
                  <a:schemeClr val="lt1"/>
                </a:solidFill>
              </a:ln>
              <a:effectLst/>
            </c:spPr>
            <c:extLst>
              <c:ext xmlns:c16="http://schemas.microsoft.com/office/drawing/2014/chart" uri="{C3380CC4-5D6E-409C-BE32-E72D297353CC}">
                <c16:uniqueId val="{00000013-6672-4E33-BDAF-882F13966CCE}"/>
              </c:ext>
            </c:extLst>
          </c:dPt>
          <c:dLbls>
            <c:spPr>
              <a:noFill/>
              <a:ln>
                <a:noFill/>
              </a:ln>
              <a:effectLst/>
            </c:sp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Sheet1!$A$2:$A$11</c:f>
              <c:strCache>
                <c:ptCount val="10"/>
                <c:pt idx="0">
                  <c:v>Accounting - Audit, bank fees, payroll processing fees, and Quickbooks - 9.4%</c:v>
                </c:pt>
                <c:pt idx="1">
                  <c:v>DART consultation and travel - 10.3%</c:v>
                </c:pt>
                <c:pt idx="2">
                  <c:v>Liability insurance - 1.5%</c:v>
                </c:pt>
                <c:pt idx="3">
                  <c:v>Marketing supplies and program expenses for Listening Process, CPA, Rally, Action - 4.0%</c:v>
                </c:pt>
                <c:pt idx="4">
                  <c:v>Miscellaneous - 0.2%</c:v>
                </c:pt>
                <c:pt idx="5">
                  <c:v>Office - dues and subscriptions, internet, phone, postage, rent, supplies - 5.4%</c:v>
                </c:pt>
                <c:pt idx="6">
                  <c:v>Payroll - salary, benefits - 66.5%</c:v>
                </c:pt>
                <c:pt idx="7">
                  <c:v>Printing and reproduction - 1.1%</c:v>
                </c:pt>
                <c:pt idx="8">
                  <c:v>Training /travel expenses of members in justice work - 0.2%</c:v>
                </c:pt>
                <c:pt idx="9">
                  <c:v>Training/Travel expenses for staff - 1.4%</c:v>
                </c:pt>
              </c:strCache>
            </c:strRef>
          </c:cat>
          <c:val>
            <c:numRef>
              <c:f>Sheet1!$B$2:$B$11</c:f>
              <c:numCache>
                <c:formatCode>0.0%</c:formatCode>
                <c:ptCount val="10"/>
                <c:pt idx="0">
                  <c:v>9.4E-2</c:v>
                </c:pt>
                <c:pt idx="1">
                  <c:v>0.10299999999999999</c:v>
                </c:pt>
                <c:pt idx="2">
                  <c:v>1.4999999999999999E-2</c:v>
                </c:pt>
                <c:pt idx="3">
                  <c:v>0.04</c:v>
                </c:pt>
                <c:pt idx="4">
                  <c:v>2E-3</c:v>
                </c:pt>
                <c:pt idx="5">
                  <c:v>5.3999999999999999E-2</c:v>
                </c:pt>
                <c:pt idx="6">
                  <c:v>0.66500000000000004</c:v>
                </c:pt>
                <c:pt idx="7">
                  <c:v>1.0999999999999999E-2</c:v>
                </c:pt>
                <c:pt idx="8">
                  <c:v>2E-3</c:v>
                </c:pt>
                <c:pt idx="9">
                  <c:v>1.4E-2</c:v>
                </c:pt>
              </c:numCache>
            </c:numRef>
          </c:val>
          <c:extLst>
            <c:ext xmlns:c16="http://schemas.microsoft.com/office/drawing/2014/chart" uri="{C3380CC4-5D6E-409C-BE32-E72D297353CC}">
              <c16:uniqueId val="{00000014-6672-4E33-BDAF-882F13966CCE}"/>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3275824035040795"/>
          <c:y val="2.91338582677165E-2"/>
          <c:w val="0.35183788942719901"/>
          <c:h val="0.93800212473440803"/>
        </c:manualLayout>
      </c:layout>
      <c:overlay val="0"/>
      <c:spPr>
        <a:solidFill>
          <a:schemeClr val="lt1">
            <a:alpha val="50000"/>
          </a:schemeClr>
        </a:solidFill>
        <a:ln>
          <a:noFill/>
        </a:ln>
        <a:effectLst/>
      </c:spPr>
      <c:txPr>
        <a:bodyPr rot="0" spcFirstLastPara="1" vertOverflow="ellipsis" vert="horz" wrap="square" anchor="ctr" anchorCtr="1"/>
        <a:lstStyle/>
        <a:p>
          <a:pPr>
            <a:defRPr lang="en-US" sz="900" b="0" i="0" u="none" strike="noStrike" kern="1200" baseline="0">
              <a:solidFill>
                <a:schemeClr val="bg1">
                  <a:lumMod val="50000"/>
                </a:schemeClr>
              </a:solidFill>
              <a:latin typeface="+mn-lt"/>
              <a:ea typeface="+mn-ea"/>
              <a:cs typeface="+mn-cs"/>
            </a:defRPr>
          </a:pPr>
          <a:endParaRPr lang="en-US"/>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lang="en-US"/>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Meyer</dc:creator>
  <cp:lastModifiedBy>brenda meyer</cp:lastModifiedBy>
  <cp:revision>2</cp:revision>
  <cp:lastPrinted>2021-06-17T18:24:00Z</cp:lastPrinted>
  <dcterms:created xsi:type="dcterms:W3CDTF">2022-06-30T15:20:00Z</dcterms:created>
  <dcterms:modified xsi:type="dcterms:W3CDTF">2022-06-30T15:20:00Z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1033-4.1.0.7501</vt:lpwstr>
  </property>
</Properties>
</file>